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黑体" w:hAnsi="黑体" w:eastAsia="黑体" w:cs="黑体"/>
          <w:color w:val="000000" w:themeColor="text1"/>
          <w:sz w:val="36"/>
          <w:szCs w:val="36"/>
          <w:lang w:val="en-US" w:eastAsia="zh-CN"/>
          <w14:textFill>
            <w14:solidFill>
              <w14:schemeClr w14:val="tx1"/>
            </w14:solidFill>
          </w14:textFill>
        </w:rPr>
      </w:pPr>
      <w:r>
        <w:rPr>
          <w:rFonts w:hint="eastAsia" w:ascii="黑体" w:hAnsi="黑体" w:eastAsia="黑体" w:cs="黑体"/>
          <w:color w:val="000000" w:themeColor="text1"/>
          <w:sz w:val="36"/>
          <w:szCs w:val="36"/>
          <w:lang w:eastAsia="zh-CN"/>
          <w14:textFill>
            <w14:solidFill>
              <w14:schemeClr w14:val="tx1"/>
            </w14:solidFill>
          </w14:textFill>
        </w:rPr>
        <w:t>专业人才培养方案自查表</w:t>
      </w:r>
    </w:p>
    <w:p>
      <w:pPr>
        <w:rPr>
          <w:rFonts w:hint="default"/>
          <w:color w:val="000000" w:themeColor="text1"/>
          <w:lang w:val="en-US" w:eastAsia="zh-CN"/>
          <w14:textFill>
            <w14:solidFill>
              <w14:schemeClr w14:val="tx1"/>
            </w14:solidFill>
          </w14:textFill>
        </w:rPr>
      </w:pPr>
      <w:r>
        <w:rPr>
          <w:rFonts w:hint="eastAsia"/>
          <w:color w:val="000000" w:themeColor="text1"/>
          <w:lang w:eastAsia="zh-CN"/>
          <w14:textFill>
            <w14:solidFill>
              <w14:schemeClr w14:val="tx1"/>
            </w14:solidFill>
          </w14:textFill>
        </w:rPr>
        <w:t>系：</w:t>
      </w:r>
      <w:r>
        <w:rPr>
          <w:rFonts w:hint="eastAsia"/>
          <w:color w:val="000000" w:themeColor="text1"/>
          <w:lang w:val="en-US" w:eastAsia="zh-CN"/>
          <w14:textFill>
            <w14:solidFill>
              <w14:schemeClr w14:val="tx1"/>
            </w14:solidFill>
          </w14:textFill>
        </w:rPr>
        <w:t xml:space="preserve"> 经济贸易系                          </w:t>
      </w:r>
      <w:r>
        <w:rPr>
          <w:rFonts w:hint="eastAsia"/>
          <w:color w:val="000000" w:themeColor="text1"/>
          <w:lang w:eastAsia="zh-CN"/>
          <w14:textFill>
            <w14:solidFill>
              <w14:schemeClr w14:val="tx1"/>
            </w14:solidFill>
          </w14:textFill>
        </w:rPr>
        <w:t>专业名称：</w:t>
      </w:r>
      <w:r>
        <w:rPr>
          <w:rFonts w:hint="eastAsia"/>
          <w:color w:val="000000" w:themeColor="text1"/>
          <w:lang w:val="en-US" w:eastAsia="zh-CN"/>
          <w14:textFill>
            <w14:solidFill>
              <w14:schemeClr w14:val="tx1"/>
            </w14:solidFill>
          </w14:textFill>
        </w:rPr>
        <w:t xml:space="preserve">  电子商务                                                           学制：三年制</w:t>
      </w:r>
    </w:p>
    <w:tbl>
      <w:tblPr>
        <w:tblStyle w:val="3"/>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9"/>
        <w:gridCol w:w="1118"/>
        <w:gridCol w:w="6667"/>
        <w:gridCol w:w="2835"/>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blHeader/>
        </w:trPr>
        <w:tc>
          <w:tcPr>
            <w:tcW w:w="719" w:type="dxa"/>
            <w:vAlign w:val="center"/>
          </w:tcPr>
          <w:p>
            <w:pPr>
              <w:jc w:val="cente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一级指标</w:t>
            </w:r>
          </w:p>
        </w:tc>
        <w:tc>
          <w:tcPr>
            <w:tcW w:w="1118" w:type="dxa"/>
            <w:vAlign w:val="center"/>
          </w:tcPr>
          <w:p>
            <w:pPr>
              <w:jc w:val="cente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二级指标</w:t>
            </w:r>
          </w:p>
        </w:tc>
        <w:tc>
          <w:tcPr>
            <w:tcW w:w="6667" w:type="dxa"/>
            <w:vAlign w:val="center"/>
          </w:tcPr>
          <w:p>
            <w:pPr>
              <w:jc w:val="cente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评价标准</w:t>
            </w:r>
          </w:p>
        </w:tc>
        <w:tc>
          <w:tcPr>
            <w:tcW w:w="2835" w:type="dxa"/>
            <w:vAlign w:val="center"/>
          </w:tcPr>
          <w:p>
            <w:pPr>
              <w:jc w:val="cente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自查结果（合格请划“√”）</w:t>
            </w:r>
          </w:p>
        </w:tc>
        <w:tc>
          <w:tcPr>
            <w:tcW w:w="2835" w:type="dxa"/>
            <w:vAlign w:val="center"/>
          </w:tcPr>
          <w:p>
            <w:pPr>
              <w:jc w:val="cente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restart"/>
            <w:vAlign w:val="center"/>
          </w:tcPr>
          <w:p>
            <w:pPr>
              <w:jc w:val="center"/>
              <w:rPr>
                <w:rFonts w:hint="default"/>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1调研报告</w:t>
            </w:r>
          </w:p>
        </w:tc>
        <w:tc>
          <w:tcPr>
            <w:tcW w:w="1118" w:type="dxa"/>
            <w:vAlign w:val="center"/>
          </w:tcPr>
          <w:p>
            <w:pPr>
              <w:jc w:val="cente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调研活动组织</w:t>
            </w:r>
          </w:p>
        </w:tc>
        <w:tc>
          <w:tcPr>
            <w:tcW w:w="6667" w:type="dxa"/>
          </w:tcPr>
          <w:p>
            <w:pPr>
              <w:rPr>
                <w:rFonts w:hint="eastAsia" w:eastAsiaTheme="minor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体现处专业人才培养调研活动的有效组织</w:t>
            </w:r>
          </w:p>
        </w:tc>
        <w:tc>
          <w:tcPr>
            <w:tcW w:w="2835"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Merge w:val="restart"/>
            <w:vAlign w:val="center"/>
          </w:tcPr>
          <w:p>
            <w:pPr>
              <w:jc w:val="cente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调研信息分析</w:t>
            </w:r>
          </w:p>
        </w:tc>
        <w:tc>
          <w:tcPr>
            <w:tcW w:w="6667" w:type="dxa"/>
          </w:tcPr>
          <w:p>
            <w:pPr>
              <w:rPr>
                <w:rFonts w:hint="default"/>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有客观深入的市场（行业、企业、在校生、毕业生）调研分析</w:t>
            </w:r>
          </w:p>
        </w:tc>
        <w:tc>
          <w:tcPr>
            <w:tcW w:w="2835"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6667"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行业发展前景分析科学有据</w:t>
            </w:r>
          </w:p>
        </w:tc>
        <w:tc>
          <w:tcPr>
            <w:tcW w:w="2835"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6667"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人才需求和职业岗位分析清晰准确</w:t>
            </w:r>
          </w:p>
        </w:tc>
        <w:tc>
          <w:tcPr>
            <w:tcW w:w="2835"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6667"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国家标准、行业标准分析清晰准确</w:t>
            </w:r>
          </w:p>
        </w:tc>
        <w:tc>
          <w:tcPr>
            <w:tcW w:w="2835"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6667"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职业证书分析准确</w:t>
            </w:r>
          </w:p>
        </w:tc>
        <w:tc>
          <w:tcPr>
            <w:tcW w:w="2835"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6667"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在校生学情分析、就业意愿分析清晰准确</w:t>
            </w:r>
          </w:p>
        </w:tc>
        <w:tc>
          <w:tcPr>
            <w:tcW w:w="2835"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Align w:val="center"/>
          </w:tcPr>
          <w:p>
            <w:pPr>
              <w:jc w:val="cente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调研结论</w:t>
            </w:r>
          </w:p>
        </w:tc>
        <w:tc>
          <w:tcPr>
            <w:tcW w:w="6667"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有效支持人才培养方案的职业面向、培养目标、规格，调研报告提供的建议，来源于对数据分析的结论，并有效支持本专业人才培养方案的制定。</w:t>
            </w:r>
          </w:p>
        </w:tc>
        <w:tc>
          <w:tcPr>
            <w:tcW w:w="2835"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restart"/>
            <w:vAlign w:val="center"/>
          </w:tcPr>
          <w:p>
            <w:pPr>
              <w:jc w:val="center"/>
              <w:rPr>
                <w:rFonts w:hint="default"/>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2基本信息</w:t>
            </w:r>
          </w:p>
        </w:tc>
        <w:tc>
          <w:tcPr>
            <w:tcW w:w="1118" w:type="dxa"/>
            <w:vAlign w:val="center"/>
          </w:tcPr>
          <w:p>
            <w:pPr>
              <w:jc w:val="cente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名称代码</w:t>
            </w:r>
          </w:p>
        </w:tc>
        <w:tc>
          <w:tcPr>
            <w:tcW w:w="6667"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专业名称及代码（高等职业教育（专科）目录完全一致</w:t>
            </w:r>
          </w:p>
        </w:tc>
        <w:tc>
          <w:tcPr>
            <w:tcW w:w="2835"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Align w:val="center"/>
          </w:tcPr>
          <w:p>
            <w:pPr>
              <w:jc w:val="cente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入学要求</w:t>
            </w:r>
          </w:p>
        </w:tc>
        <w:tc>
          <w:tcPr>
            <w:tcW w:w="6667" w:type="dxa"/>
          </w:tcPr>
          <w:p>
            <w:pPr>
              <w:rPr>
                <w:rFonts w:hint="default"/>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与教育部（2019）61号文件或与国家专业教学标准表述一致。</w:t>
            </w:r>
          </w:p>
        </w:tc>
        <w:tc>
          <w:tcPr>
            <w:tcW w:w="2835"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Align w:val="center"/>
          </w:tcPr>
          <w:p>
            <w:pPr>
              <w:jc w:val="center"/>
              <w:rPr>
                <w:rFonts w:hint="eastAsia" w:asciiTheme="minorHAnsi" w:hAnsiTheme="minorHAnsi" w:eastAsiaTheme="minorEastAsia" w:cstheme="minorBidi"/>
                <w:color w:val="000000" w:themeColor="text1"/>
                <w:kern w:val="2"/>
                <w:sz w:val="21"/>
                <w:szCs w:val="24"/>
                <w:vertAlign w:val="baseline"/>
                <w:lang w:val="en-US" w:eastAsia="zh-CN" w:bidi="ar-SA"/>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修业年限</w:t>
            </w:r>
          </w:p>
        </w:tc>
        <w:tc>
          <w:tcPr>
            <w:tcW w:w="6667"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用“三年”表述</w:t>
            </w:r>
          </w:p>
        </w:tc>
        <w:tc>
          <w:tcPr>
            <w:tcW w:w="2835"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restart"/>
            <w:vAlign w:val="center"/>
          </w:tcPr>
          <w:p>
            <w:pPr>
              <w:jc w:val="center"/>
              <w:rPr>
                <w:rFonts w:hint="default"/>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3职业面向</w:t>
            </w:r>
          </w:p>
        </w:tc>
        <w:tc>
          <w:tcPr>
            <w:tcW w:w="1118" w:type="dxa"/>
            <w:vAlign w:val="center"/>
          </w:tcPr>
          <w:p>
            <w:pPr>
              <w:jc w:val="cente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所属专业大类、代码</w:t>
            </w:r>
          </w:p>
        </w:tc>
        <w:tc>
          <w:tcPr>
            <w:tcW w:w="6667"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对照（高等职业教育（专科）目录填写</w:t>
            </w:r>
          </w:p>
        </w:tc>
        <w:tc>
          <w:tcPr>
            <w:tcW w:w="2835"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Align w:val="center"/>
          </w:tcPr>
          <w:p>
            <w:pPr>
              <w:jc w:val="cente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对应行业、代码</w:t>
            </w:r>
          </w:p>
        </w:tc>
        <w:tc>
          <w:tcPr>
            <w:tcW w:w="6667" w:type="dxa"/>
          </w:tcPr>
          <w:p>
            <w:pPr>
              <w:rPr>
                <w:rFonts w:hint="default"/>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参考《国民经济行业分类（2017版）填写，具体到行业小类。</w:t>
            </w:r>
          </w:p>
        </w:tc>
        <w:tc>
          <w:tcPr>
            <w:tcW w:w="2835"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Align w:val="center"/>
          </w:tcPr>
          <w:p>
            <w:pPr>
              <w:jc w:val="cente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主要职业类别代码</w:t>
            </w:r>
          </w:p>
        </w:tc>
        <w:tc>
          <w:tcPr>
            <w:tcW w:w="6667" w:type="dxa"/>
          </w:tcPr>
          <w:p>
            <w:pPr>
              <w:rPr>
                <w:rFonts w:hint="default"/>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参考《职业分类大典》2015版填写，具体到小类。</w:t>
            </w:r>
          </w:p>
        </w:tc>
        <w:tc>
          <w:tcPr>
            <w:tcW w:w="2835"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Align w:val="center"/>
          </w:tcPr>
          <w:p>
            <w:pPr>
              <w:jc w:val="center"/>
              <w:rPr>
                <w:rFonts w:hint="eastAsia"/>
                <w:color w:val="000000" w:themeColor="text1"/>
                <w:vertAlign w:val="baseline"/>
                <w:lang w:val="en-US" w:eastAsia="zh-CN"/>
                <w14:textFill>
                  <w14:solidFill>
                    <w14:schemeClr w14:val="tx1"/>
                  </w14:solidFill>
                </w14:textFill>
              </w:rPr>
            </w:pPr>
            <w:r>
              <w:rPr>
                <w:rFonts w:hint="eastAsia" w:eastAsiaTheme="minorEastAsia"/>
                <w:color w:val="000000" w:themeColor="text1"/>
                <w:spacing w:val="-11"/>
                <w:vertAlign w:val="baseline"/>
                <w:lang w:val="en-US" w:eastAsia="zh-CN"/>
                <w14:textFill>
                  <w14:solidFill>
                    <w14:schemeClr w14:val="tx1"/>
                  </w14:solidFill>
                </w14:textFill>
              </w:rPr>
              <w:t>主要岗位类别、代码</w:t>
            </w:r>
          </w:p>
        </w:tc>
        <w:tc>
          <w:tcPr>
            <w:tcW w:w="6667"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依据专业人才培养调研结果，参考行业、企业现行通用岗位群或技术领域表述。</w:t>
            </w:r>
          </w:p>
        </w:tc>
        <w:tc>
          <w:tcPr>
            <w:tcW w:w="2835"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Merge w:val="restart"/>
            <w:vAlign w:val="center"/>
          </w:tcPr>
          <w:p>
            <w:pPr>
              <w:jc w:val="cente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职业技能证书</w:t>
            </w:r>
          </w:p>
        </w:tc>
        <w:tc>
          <w:tcPr>
            <w:tcW w:w="6667"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列举相应的国家职业资格证书，职业技能等级证书，行业、企业、社会认可度高的有关证书。</w:t>
            </w:r>
          </w:p>
        </w:tc>
        <w:tc>
          <w:tcPr>
            <w:tcW w:w="2835"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6667"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与主要岗位类别直接相关。</w:t>
            </w:r>
          </w:p>
        </w:tc>
        <w:tc>
          <w:tcPr>
            <w:tcW w:w="2835"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6667"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关注点：与相关课程的培养目标、课程要求呼应。</w:t>
            </w:r>
          </w:p>
        </w:tc>
        <w:tc>
          <w:tcPr>
            <w:tcW w:w="2835"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restart"/>
            <w:vAlign w:val="center"/>
          </w:tcPr>
          <w:p>
            <w:pPr>
              <w:jc w:val="center"/>
              <w:rPr>
                <w:rFonts w:hint="default"/>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4培养目标与规格</w:t>
            </w:r>
          </w:p>
        </w:tc>
        <w:tc>
          <w:tcPr>
            <w:tcW w:w="1118" w:type="dxa"/>
            <w:vMerge w:val="restart"/>
            <w:vAlign w:val="center"/>
          </w:tcPr>
          <w:p>
            <w:pPr>
              <w:jc w:val="cente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培养目标</w:t>
            </w:r>
          </w:p>
        </w:tc>
        <w:tc>
          <w:tcPr>
            <w:tcW w:w="6667" w:type="dxa"/>
          </w:tcPr>
          <w:p>
            <w:pPr>
              <w:rPr>
                <w:rFonts w:hint="default"/>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基本素养依据国家有关规定（13、61号文件）、国家专业教学标准制定</w:t>
            </w:r>
          </w:p>
        </w:tc>
        <w:tc>
          <w:tcPr>
            <w:tcW w:w="2835" w:type="dxa"/>
          </w:tcPr>
          <w:p>
            <w:pPr>
              <w:rPr>
                <w:rFonts w:hint="default"/>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6667"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专业素养、知识、技术技能依据国家专业教学标准、区域产业发展、专业人才培养调研制定。</w:t>
            </w:r>
          </w:p>
        </w:tc>
        <w:tc>
          <w:tcPr>
            <w:tcW w:w="2835"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6667"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专业培养目标体现学校办学层次和办学定位（特色）</w:t>
            </w:r>
          </w:p>
        </w:tc>
        <w:tc>
          <w:tcPr>
            <w:tcW w:w="2835"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6667"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坚持立德树人，体现德智体美劳全面发展的复合型技术技能人才培养要求。</w:t>
            </w:r>
          </w:p>
        </w:tc>
        <w:tc>
          <w:tcPr>
            <w:tcW w:w="2835"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6667"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符合市场人才需求，体现创新精神，实践能力和可持续发展的要求。</w:t>
            </w:r>
          </w:p>
        </w:tc>
        <w:tc>
          <w:tcPr>
            <w:tcW w:w="2835"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6667"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内容包括：素养、知识、技术技能、行业面向、职业面向、岗位（群）或技术领域。</w:t>
            </w:r>
          </w:p>
          <w:p>
            <w:pPr>
              <w:rPr>
                <w:rFonts w:hint="eastAsia"/>
                <w:color w:val="000000" w:themeColor="text1"/>
                <w:vertAlign w:val="baseline"/>
                <w:lang w:val="en-US" w:eastAsia="zh-CN"/>
                <w14:textFill>
                  <w14:solidFill>
                    <w14:schemeClr w14:val="tx1"/>
                  </w14:solidFill>
                </w14:textFill>
              </w:rPr>
            </w:pPr>
          </w:p>
        </w:tc>
        <w:tc>
          <w:tcPr>
            <w:tcW w:w="2835"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6667"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行业面向、职业面向、岗位（群）或技术领域的描述与“职业面向”保持一致。</w:t>
            </w:r>
          </w:p>
        </w:tc>
        <w:tc>
          <w:tcPr>
            <w:tcW w:w="2835"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6667"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关注点：岗位（群）与核心课程对应岗位一致。</w:t>
            </w:r>
          </w:p>
        </w:tc>
        <w:tc>
          <w:tcPr>
            <w:tcW w:w="2835"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6667"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关注点：岗位（群）与抽考标准一致。</w:t>
            </w:r>
          </w:p>
        </w:tc>
        <w:tc>
          <w:tcPr>
            <w:tcW w:w="2835"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Merge w:val="restart"/>
            <w:vAlign w:val="center"/>
          </w:tcPr>
          <w:p>
            <w:pPr>
              <w:jc w:val="cente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培养规格</w:t>
            </w:r>
          </w:p>
        </w:tc>
        <w:tc>
          <w:tcPr>
            <w:tcW w:w="6667"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由素质、知识、能力三个方面的要求组成。</w:t>
            </w:r>
          </w:p>
        </w:tc>
        <w:tc>
          <w:tcPr>
            <w:tcW w:w="2835"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6667"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素养规格依据相关文件、国家专业教学标准制定，加入本专业所特有的，有别于其他专业的职业素养。</w:t>
            </w:r>
          </w:p>
        </w:tc>
        <w:tc>
          <w:tcPr>
            <w:tcW w:w="2835"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6667"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知识、能力规格依据国家专业教学标准、专业人才调研制定，与专业人才培养目标对应，有课程支撑。</w:t>
            </w:r>
          </w:p>
        </w:tc>
        <w:tc>
          <w:tcPr>
            <w:tcW w:w="2835"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6667"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知识规格是对专业人才培养所需知识的高度概括，应体现知识掌握程度，建议参考国家专业教学标准划分为“了解、熟悉、掌握”三个层次。</w:t>
            </w:r>
          </w:p>
        </w:tc>
        <w:tc>
          <w:tcPr>
            <w:tcW w:w="2835"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6667"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能力规格是对专业人才培养所需能力的高度概括，是对专业毕业生“能做什么”的明确具体的表述，建议参考国家专业教学标准，按照“具有。。。能力”“能做。。。。”的形式来描述。</w:t>
            </w:r>
          </w:p>
          <w:p>
            <w:pPr>
              <w:rPr>
                <w:rFonts w:hint="default"/>
                <w:color w:val="000000" w:themeColor="text1"/>
                <w:vertAlign w:val="baseline"/>
                <w:lang w:val="en-US" w:eastAsia="zh-CN"/>
                <w14:textFill>
                  <w14:solidFill>
                    <w14:schemeClr w14:val="tx1"/>
                  </w14:solidFill>
                </w14:textFill>
              </w:rPr>
            </w:pPr>
          </w:p>
        </w:tc>
        <w:tc>
          <w:tcPr>
            <w:tcW w:w="2835" w:type="dxa"/>
          </w:tcPr>
          <w:p>
            <w:pPr>
              <w:rPr>
                <w:rFonts w:hint="default"/>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v</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6667"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关注点：专业素养、能力规格应与学生技能考核标准高度吻合。</w:t>
            </w:r>
          </w:p>
        </w:tc>
        <w:tc>
          <w:tcPr>
            <w:tcW w:w="2835"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restart"/>
            <w:vAlign w:val="center"/>
          </w:tcPr>
          <w:p>
            <w:pPr>
              <w:jc w:val="cente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5.课程体系</w:t>
            </w:r>
          </w:p>
        </w:tc>
        <w:tc>
          <w:tcPr>
            <w:tcW w:w="1118" w:type="dxa"/>
            <w:vMerge w:val="restart"/>
            <w:vAlign w:val="center"/>
          </w:tcPr>
          <w:p>
            <w:pPr>
              <w:jc w:val="cente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能力分析</w:t>
            </w:r>
          </w:p>
        </w:tc>
        <w:tc>
          <w:tcPr>
            <w:tcW w:w="6667" w:type="dxa"/>
          </w:tcPr>
          <w:p>
            <w:pPr>
              <w:rPr>
                <w:rFonts w:hint="eastAsia" w:eastAsiaTheme="minor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基于职业能力构建课程体系，能够体现职业能力与课程体系的关联，课程体系设计思路清晰。</w:t>
            </w:r>
          </w:p>
        </w:tc>
        <w:tc>
          <w:tcPr>
            <w:tcW w:w="2835"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6667"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课程模块设计科学，合理，体现职业教育规律，人才成长规律和职业升迁规律（职业能力递进，未来职业发展）</w:t>
            </w:r>
          </w:p>
        </w:tc>
        <w:tc>
          <w:tcPr>
            <w:tcW w:w="2835"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Merge w:val="restart"/>
            <w:vAlign w:val="center"/>
          </w:tcPr>
          <w:p>
            <w:pPr>
              <w:jc w:val="cente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课程设置</w:t>
            </w:r>
          </w:p>
        </w:tc>
        <w:tc>
          <w:tcPr>
            <w:tcW w:w="6667" w:type="dxa"/>
          </w:tcPr>
          <w:p>
            <w:pPr>
              <w:rPr>
                <w:rFonts w:hint="default"/>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课程设置对接人才培养规格要求，有效支撑培养目标的达成（核心课程对接岗位/技术领域，课程体现人才培养规格）</w:t>
            </w:r>
          </w:p>
        </w:tc>
        <w:tc>
          <w:tcPr>
            <w:tcW w:w="2835"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6667"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课程设置充分体现新产业、新技术、新业态、新模式，适应未来产业发展趋势要求。</w:t>
            </w:r>
          </w:p>
        </w:tc>
        <w:tc>
          <w:tcPr>
            <w:tcW w:w="2835"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6667"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课程设置有特色，体现了先进的职业教育理念和“校企合作、工学结合”人才培养模式。</w:t>
            </w:r>
          </w:p>
        </w:tc>
        <w:tc>
          <w:tcPr>
            <w:tcW w:w="2835"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Merge w:val="restart"/>
            <w:vAlign w:val="center"/>
          </w:tcPr>
          <w:p>
            <w:pPr>
              <w:jc w:val="cente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教学时量</w:t>
            </w:r>
          </w:p>
        </w:tc>
        <w:tc>
          <w:tcPr>
            <w:tcW w:w="6667"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严格按照国家规定，开齐开足思想政治理论、体育、军事课、心理健康教育等公共课程。</w:t>
            </w:r>
          </w:p>
        </w:tc>
        <w:tc>
          <w:tcPr>
            <w:tcW w:w="2835"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6667" w:type="dxa"/>
          </w:tcPr>
          <w:p>
            <w:pPr>
              <w:rPr>
                <w:rFonts w:hint="default"/>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形势与政策1学分，毛泽东思想和中国特色社会主义理论体系概论4学分，思想道德修养与法律基础3学分；</w:t>
            </w:r>
          </w:p>
        </w:tc>
        <w:tc>
          <w:tcPr>
            <w:tcW w:w="2835"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6667" w:type="dxa"/>
          </w:tcPr>
          <w:p>
            <w:pPr>
              <w:rPr>
                <w:rFonts w:hint="default"/>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体育不少于108学时</w:t>
            </w:r>
          </w:p>
        </w:tc>
        <w:tc>
          <w:tcPr>
            <w:tcW w:w="2835"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6667" w:type="dxa"/>
          </w:tcPr>
          <w:p>
            <w:pPr>
              <w:rPr>
                <w:rFonts w:hint="default"/>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军事理论课2学分，36学时；军事技能课2学分，不少于112学时；</w:t>
            </w:r>
          </w:p>
        </w:tc>
        <w:tc>
          <w:tcPr>
            <w:tcW w:w="2835"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6667" w:type="dxa"/>
          </w:tcPr>
          <w:p>
            <w:pPr>
              <w:rPr>
                <w:rFonts w:hint="default"/>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心理健康教育科分，32-36学时；</w:t>
            </w:r>
          </w:p>
        </w:tc>
        <w:tc>
          <w:tcPr>
            <w:tcW w:w="2835"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6667" w:type="dxa"/>
          </w:tcPr>
          <w:p>
            <w:pPr>
              <w:rPr>
                <w:rFonts w:hint="default"/>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劳动教育16学时；创业基础2学分；</w:t>
            </w:r>
          </w:p>
        </w:tc>
        <w:tc>
          <w:tcPr>
            <w:tcW w:w="2835"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6667" w:type="dxa"/>
          </w:tcPr>
          <w:p>
            <w:pPr>
              <w:rPr>
                <w:rFonts w:hint="default"/>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按照职业岗位（群）的能力要求，确定6-8门专业核心课程和若干门专业课程。</w:t>
            </w:r>
          </w:p>
        </w:tc>
        <w:tc>
          <w:tcPr>
            <w:tcW w:w="2835"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6667"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描述各门课程的课程目标，主要内容和教学要求，落实国家有关规定和要求。</w:t>
            </w:r>
          </w:p>
        </w:tc>
        <w:tc>
          <w:tcPr>
            <w:tcW w:w="2835"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6667" w:type="dxa"/>
          </w:tcPr>
          <w:p>
            <w:pPr>
              <w:rPr>
                <w:rFonts w:hint="default"/>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每学年安排40周教学活动，总学时不低于2500学时，公共基础课程学时不少于总学时的1/4，实践性教学学时占总学时数50%以上，顶岗实习6个月，选修课教学时数占总学时的比例不少于10%，一般以16-18学时计为1个学分。</w:t>
            </w:r>
          </w:p>
        </w:tc>
        <w:tc>
          <w:tcPr>
            <w:tcW w:w="2835"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6667"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各门课程之间，各模块之间及理论课与实践课的课时比例分配科学合理（专业核心课程对应学时、学分等于或大于专业基础课程，每门课程理论、实训学时安排逻辑合理）</w:t>
            </w:r>
          </w:p>
        </w:tc>
        <w:tc>
          <w:tcPr>
            <w:tcW w:w="2835"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Merge w:val="restart"/>
            <w:vAlign w:val="center"/>
          </w:tcPr>
          <w:p>
            <w:pPr>
              <w:jc w:val="cente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进程安排</w:t>
            </w:r>
          </w:p>
        </w:tc>
        <w:tc>
          <w:tcPr>
            <w:tcW w:w="6667"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公共基础课程与专业课程、必修课程与选修课程安排科学合理，突出学生的全面发展和个性化发展。</w:t>
            </w:r>
          </w:p>
        </w:tc>
        <w:tc>
          <w:tcPr>
            <w:tcW w:w="2835"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6667"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课程前后逻辑关系清晰准确，体现了专业教育规律和人才成长规律，有利于学生知识、能力、素养的有效提升。</w:t>
            </w:r>
          </w:p>
        </w:tc>
        <w:tc>
          <w:tcPr>
            <w:tcW w:w="2835"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6667"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课程安排与课程设置、课程描述等前后保持一致，课程有效支持人才培养规格和培养目标达成。</w:t>
            </w:r>
          </w:p>
        </w:tc>
        <w:tc>
          <w:tcPr>
            <w:tcW w:w="2835"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restart"/>
            <w:vAlign w:val="center"/>
          </w:tcPr>
          <w:p>
            <w:pPr>
              <w:jc w:val="center"/>
              <w:rPr>
                <w:rFonts w:hint="default"/>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6实施保障</w:t>
            </w:r>
          </w:p>
        </w:tc>
        <w:tc>
          <w:tcPr>
            <w:tcW w:w="1118" w:type="dxa"/>
            <w:vMerge w:val="restart"/>
            <w:vAlign w:val="center"/>
          </w:tcPr>
          <w:p>
            <w:pPr>
              <w:jc w:val="cente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师资队伍</w:t>
            </w:r>
          </w:p>
        </w:tc>
        <w:tc>
          <w:tcPr>
            <w:tcW w:w="6667" w:type="dxa"/>
          </w:tcPr>
          <w:p>
            <w:pPr>
              <w:rPr>
                <w:rFonts w:hint="eastAsia" w:eastAsiaTheme="minor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对专兼职教师的数量、结构、素质等提出具体要求。（应为针对专业人才培养所需师资的要求描述，专职教师师生比、师资队伍年龄结构、学历结构、职称结构描述）</w:t>
            </w:r>
          </w:p>
        </w:tc>
        <w:tc>
          <w:tcPr>
            <w:tcW w:w="2835"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6667" w:type="dxa"/>
          </w:tcPr>
          <w:p>
            <w:pPr>
              <w:rPr>
                <w:rFonts w:hint="eastAsia" w:eastAsiaTheme="minor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根据办学规模科学合理提出师资队伍配置要求，师资队伍结构合理，教师数量充足。</w:t>
            </w:r>
          </w:p>
        </w:tc>
        <w:tc>
          <w:tcPr>
            <w:tcW w:w="2835" w:type="dxa"/>
          </w:tcPr>
          <w:p>
            <w:pPr>
              <w:rPr>
                <w:rFonts w:hint="default"/>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6667" w:type="dxa"/>
          </w:tcPr>
          <w:p>
            <w:pPr>
              <w:rPr>
                <w:rFonts w:hint="eastAsia" w:eastAsiaTheme="minor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专业教师要求明确、科学。</w:t>
            </w:r>
          </w:p>
        </w:tc>
        <w:tc>
          <w:tcPr>
            <w:tcW w:w="2835"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6667"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注重对教师队伍的师德师风和双师素养要求。</w:t>
            </w:r>
          </w:p>
        </w:tc>
        <w:tc>
          <w:tcPr>
            <w:tcW w:w="2835"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Merge w:val="restart"/>
            <w:vAlign w:val="center"/>
          </w:tcPr>
          <w:p>
            <w:pPr>
              <w:jc w:val="cente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教学设施</w:t>
            </w:r>
          </w:p>
        </w:tc>
        <w:tc>
          <w:tcPr>
            <w:tcW w:w="6667" w:type="dxa"/>
          </w:tcPr>
          <w:p>
            <w:pPr>
              <w:rPr>
                <w:rFonts w:hint="default"/>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对教室、校内外实习实训基地等提出具体要求。</w:t>
            </w:r>
          </w:p>
        </w:tc>
        <w:tc>
          <w:tcPr>
            <w:tcW w:w="2835"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6667"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根据办学规模和办学特点科学合理提出校内外实习实训条件配置要求，实训基地有效支撑实施，基地工位数量充足。</w:t>
            </w:r>
          </w:p>
        </w:tc>
        <w:tc>
          <w:tcPr>
            <w:tcW w:w="2835"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6667"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各实训基地的工位数量、实训项目、致乘客称等配置要求明确、具体。</w:t>
            </w:r>
          </w:p>
        </w:tc>
        <w:tc>
          <w:tcPr>
            <w:tcW w:w="2835"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6667"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合理配置仿真、模拟及生产性实习实训基地。</w:t>
            </w:r>
          </w:p>
        </w:tc>
        <w:tc>
          <w:tcPr>
            <w:tcW w:w="2835"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Merge w:val="restart"/>
            <w:vAlign w:val="center"/>
          </w:tcPr>
          <w:p>
            <w:pPr>
              <w:jc w:val="cente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教学资源</w:t>
            </w:r>
          </w:p>
        </w:tc>
        <w:tc>
          <w:tcPr>
            <w:tcW w:w="6667"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对教材选用、图书文献配备、数字资源配备等提出具体要求。</w:t>
            </w:r>
          </w:p>
        </w:tc>
        <w:tc>
          <w:tcPr>
            <w:tcW w:w="2835"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6667" w:type="dxa"/>
          </w:tcPr>
          <w:p>
            <w:pPr>
              <w:rPr>
                <w:rFonts w:hint="default"/>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根据专业特点科学合理提出教学资源配置要求。</w:t>
            </w:r>
          </w:p>
        </w:tc>
        <w:tc>
          <w:tcPr>
            <w:tcW w:w="2835"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6667" w:type="dxa"/>
          </w:tcPr>
          <w:p>
            <w:pPr>
              <w:rPr>
                <w:rFonts w:hint="default"/>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教学资源配置有效支撑专业课程教学改革与实施。</w:t>
            </w:r>
          </w:p>
        </w:tc>
        <w:tc>
          <w:tcPr>
            <w:tcW w:w="2835"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Align w:val="center"/>
          </w:tcPr>
          <w:p>
            <w:pPr>
              <w:jc w:val="cente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教学方法</w:t>
            </w:r>
          </w:p>
        </w:tc>
        <w:tc>
          <w:tcPr>
            <w:tcW w:w="6667"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对实施教学应采取的方法提出具体要求和建议。</w:t>
            </w:r>
          </w:p>
        </w:tc>
        <w:tc>
          <w:tcPr>
            <w:tcW w:w="2835"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Merge w:val="restart"/>
            <w:vAlign w:val="center"/>
          </w:tcPr>
          <w:p>
            <w:pPr>
              <w:jc w:val="cente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学习评价</w:t>
            </w:r>
          </w:p>
        </w:tc>
        <w:tc>
          <w:tcPr>
            <w:tcW w:w="6667"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对学生学习评价的方式方法提出具体要求和建议。</w:t>
            </w:r>
          </w:p>
        </w:tc>
        <w:tc>
          <w:tcPr>
            <w:tcW w:w="2835"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6667"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根据专业特点科学合理提出学习评价要求</w:t>
            </w:r>
          </w:p>
        </w:tc>
        <w:tc>
          <w:tcPr>
            <w:tcW w:w="2835"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6667"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突出多元考核，多元主体参与的评价方式，有效促进教学目标的达成。</w:t>
            </w:r>
          </w:p>
        </w:tc>
        <w:tc>
          <w:tcPr>
            <w:tcW w:w="2835"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Align w:val="center"/>
          </w:tcPr>
          <w:p>
            <w:pPr>
              <w:jc w:val="cente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质量管理</w:t>
            </w:r>
          </w:p>
        </w:tc>
        <w:tc>
          <w:tcPr>
            <w:tcW w:w="6667"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对专业人才培养的质量管理提出具体要求。</w:t>
            </w:r>
          </w:p>
        </w:tc>
        <w:tc>
          <w:tcPr>
            <w:tcW w:w="2835"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Align w:val="center"/>
          </w:tcPr>
          <w:p>
            <w:pPr>
              <w:jc w:val="cente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毕业要求</w:t>
            </w:r>
          </w:p>
        </w:tc>
        <w:tc>
          <w:tcPr>
            <w:tcW w:w="6667"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有明确的学生毕业要求。</w:t>
            </w:r>
          </w:p>
        </w:tc>
        <w:tc>
          <w:tcPr>
            <w:tcW w:w="2835"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bookmarkStart w:id="0" w:name="_GoBack"/>
            <w:bookmarkEnd w:id="0"/>
          </w:p>
        </w:tc>
        <w:tc>
          <w:tcPr>
            <w:tcW w:w="2835" w:type="dxa"/>
          </w:tcPr>
          <w:p>
            <w:pPr>
              <w:rPr>
                <w:rFonts w:hint="eastAsia"/>
                <w:color w:val="000000" w:themeColor="text1"/>
                <w:vertAlign w:val="baseline"/>
                <w:lang w:val="en-US" w:eastAsia="zh-CN"/>
                <w14:textFill>
                  <w14:solidFill>
                    <w14:schemeClr w14:val="tx1"/>
                  </w14:solidFill>
                </w14:textFill>
              </w:rPr>
            </w:pPr>
          </w:p>
        </w:tc>
      </w:tr>
    </w:tbl>
    <w:p>
      <w:pPr>
        <w:keepNext w:val="0"/>
        <w:keepLines w:val="0"/>
        <w:pageBreakBefore w:val="0"/>
        <w:widowControl w:val="0"/>
        <w:kinsoku/>
        <w:wordWrap/>
        <w:overflowPunct/>
        <w:topLinePunct w:val="0"/>
        <w:autoSpaceDE/>
        <w:autoSpaceDN/>
        <w:bidi w:val="0"/>
        <w:adjustRightInd/>
        <w:snapToGrid/>
        <w:spacing w:line="20" w:lineRule="exact"/>
        <w:textAlignment w:val="auto"/>
        <w:outlineLvl w:val="9"/>
        <w:rPr>
          <w:rFonts w:hint="eastAsia"/>
          <w:color w:val="000000" w:themeColor="text1"/>
          <w:lang w:val="en-US" w:eastAsia="zh-CN"/>
          <w14:textFill>
            <w14:solidFill>
              <w14:schemeClr w14:val="tx1"/>
            </w14:solidFill>
          </w14:textFill>
        </w:rPr>
      </w:pPr>
    </w:p>
    <w:sectPr>
      <w:pgSz w:w="16838" w:h="11906" w:orient="landscape"/>
      <w:pgMar w:top="1134" w:right="1440" w:bottom="850" w:left="1440" w:header="851" w:footer="567" w:gutter="0"/>
      <w:cols w:space="0" w:num="1"/>
      <w:rtlGutter w:val="0"/>
      <w:docGrid w:type="lines" w:linePitch="32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61"/>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0A21122"/>
    <w:rsid w:val="1EF545C6"/>
    <w:rsid w:val="24FE754C"/>
    <w:rsid w:val="265E66BA"/>
    <w:rsid w:val="2FDE6E21"/>
    <w:rsid w:val="3E652B34"/>
    <w:rsid w:val="51EC1CAC"/>
    <w:rsid w:val="56C27129"/>
    <w:rsid w:val="593454F4"/>
    <w:rsid w:val="5AC14EA5"/>
    <w:rsid w:val="70A21122"/>
    <w:rsid w:val="75811271"/>
    <w:rsid w:val="7E993B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2020-08-15T02:04:00Z</dcterms:created>
  <dc:creator>Administrator</dc:creator>
  <cp:lastModifiedBy>悠游岐山</cp:lastModifiedBy>
  <dcterms:modified xsi:type="dcterms:W3CDTF">2020-10-25T08:29:48Z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