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color w:val="000000" w:themeColor="text1"/>
          <w:sz w:val="36"/>
          <w:szCs w:val="36"/>
          <w:lang w:val="en-US" w:eastAsia="zh-CN"/>
          <w14:textFill>
            <w14:solidFill>
              <w14:schemeClr w14:val="tx1"/>
            </w14:solidFill>
          </w14:textFill>
        </w:rPr>
      </w:pPr>
      <w:r>
        <w:rPr>
          <w:rFonts w:hint="eastAsia" w:ascii="黑体" w:hAnsi="黑体" w:eastAsia="黑体" w:cs="黑体"/>
          <w:color w:val="000000" w:themeColor="text1"/>
          <w:sz w:val="36"/>
          <w:szCs w:val="36"/>
          <w:lang w:eastAsia="zh-CN"/>
          <w14:textFill>
            <w14:solidFill>
              <w14:schemeClr w14:val="tx1"/>
            </w14:solidFill>
          </w14:textFill>
        </w:rPr>
        <w:t>专业人才培养方案自查表</w:t>
      </w:r>
    </w:p>
    <w:p>
      <w:pPr>
        <w:rPr>
          <w:rFonts w:hint="default"/>
          <w:color w:val="000000" w:themeColor="text1"/>
          <w:lang w:val="en-US" w:eastAsia="zh-CN"/>
          <w14:textFill>
            <w14:solidFill>
              <w14:schemeClr w14:val="tx1"/>
            </w14:solidFill>
          </w14:textFill>
        </w:rPr>
      </w:pPr>
      <w:r>
        <w:rPr>
          <w:rFonts w:hint="eastAsia"/>
          <w:color w:val="000000" w:themeColor="text1"/>
          <w:lang w:eastAsia="zh-CN"/>
          <w14:textFill>
            <w14:solidFill>
              <w14:schemeClr w14:val="tx1"/>
            </w14:solidFill>
          </w14:textFill>
        </w:rPr>
        <w:t>系：</w:t>
      </w:r>
      <w:r>
        <w:rPr>
          <w:rFonts w:hint="eastAsia"/>
          <w:color w:val="000000" w:themeColor="text1"/>
          <w:lang w:val="en-US" w:eastAsia="zh-CN"/>
          <w14:textFill>
            <w14:solidFill>
              <w14:schemeClr w14:val="tx1"/>
            </w14:solidFill>
          </w14:textFill>
        </w:rPr>
        <w:t xml:space="preserve">      计算机系                     </w:t>
      </w:r>
      <w:r>
        <w:rPr>
          <w:rFonts w:hint="eastAsia"/>
          <w:color w:val="000000" w:themeColor="text1"/>
          <w:lang w:eastAsia="zh-CN"/>
          <w14:textFill>
            <w14:solidFill>
              <w14:schemeClr w14:val="tx1"/>
            </w14:solidFill>
          </w14:textFill>
        </w:rPr>
        <w:t>专业名称：</w:t>
      </w:r>
      <w:r>
        <w:rPr>
          <w:rFonts w:hint="eastAsia"/>
          <w:color w:val="000000" w:themeColor="text1"/>
          <w:lang w:val="en-US" w:eastAsia="zh-CN"/>
          <w14:textFill>
            <w14:solidFill>
              <w14:schemeClr w14:val="tx1"/>
            </w14:solidFill>
          </w14:textFill>
        </w:rPr>
        <w:t xml:space="preserve">    计算机网络技术                                                    学制：三年</w:t>
      </w:r>
    </w:p>
    <w:tbl>
      <w:tblPr>
        <w:tblStyle w:val="3"/>
        <w:tblW w:w="14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118"/>
        <w:gridCol w:w="6667"/>
        <w:gridCol w:w="2835"/>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blHeader/>
        </w:trPr>
        <w:tc>
          <w:tcPr>
            <w:tcW w:w="719"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一级指标</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二级指标</w:t>
            </w:r>
          </w:p>
        </w:tc>
        <w:tc>
          <w:tcPr>
            <w:tcW w:w="6667"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评价标准</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自查结果（合格请划“√”）</w:t>
            </w:r>
          </w:p>
        </w:tc>
        <w:tc>
          <w:tcPr>
            <w:tcW w:w="2835"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1调研报告</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调研活动组织</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体现处专业人才培养调研活动的有效组织</w:t>
            </w:r>
          </w:p>
        </w:tc>
        <w:tc>
          <w:tcPr>
            <w:tcW w:w="2835" w:type="dxa"/>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有调研报告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调研信息分析</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有客观深入的市场（行业、企业、在校生、毕业生）调研分析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行业发展前景分析科学有据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人才需求和职业岗位分析清晰准确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结合华为1+X证书的要求</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国家标准、行业标准分析清晰准确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职业证书分析准确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针对1+x证书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在校生学情分析、就业意愿分析清晰准确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有学生信息统计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调研结论</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有效支持人才培养方案的职业面向、培养目标、规格，调研报告提供的建议，来源于对数据分析的结论，并有效支持本专业人才培养方案的制定。</w:t>
            </w:r>
          </w:p>
        </w:tc>
        <w:tc>
          <w:tcPr>
            <w:tcW w:w="2835" w:type="dxa"/>
          </w:tcPr>
          <w:p>
            <w:pPr>
              <w:jc w:val="left"/>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2基本信息</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名称代码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专业名称及代码（高等职业教育（专科）目录完全一致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入学要求</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与教育部（2019）61号文件或与国家专业教学标准表述一致。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asciiTheme="minorHAnsi" w:hAnsiTheme="minorHAnsi" w:eastAsiaTheme="minorEastAsia" w:cstheme="minorBidi"/>
                <w:color w:val="000000" w:themeColor="text1"/>
                <w:kern w:val="2"/>
                <w:sz w:val="21"/>
                <w:szCs w:val="24"/>
                <w:vertAlign w:val="baseline"/>
                <w:lang w:val="en-US" w:eastAsia="zh-CN" w:bidi="ar-SA"/>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修业年限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用“三年”表述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3职业面向</w:t>
            </w: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所属专业大类、代码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对照（高等职业教育（专科）目录填写</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对应行业、代码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参考《国民经济行业分类（2017版）填写，具体到行业小类。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主要职业类别代码</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参考《职业分类大典》2015版填写，具体到小类。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eastAsiaTheme="minorEastAsia"/>
                <w:color w:val="000000" w:themeColor="text1"/>
                <w:spacing w:val="-11"/>
                <w:vertAlign w:val="baseline"/>
                <w:lang w:val="en-US" w:eastAsia="zh-CN"/>
                <w14:textFill>
                  <w14:solidFill>
                    <w14:schemeClr w14:val="tx1"/>
                  </w14:solidFill>
                </w14:textFill>
              </w:rPr>
              <w:t>主要岗位类别、代码</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依据专业人才培养调研结果，参考行业、企业现行通用岗位群或技术领域表述。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职业技能证书</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列举相应的国家职业资格证书，职业技能等级证书，行业、企业、社会认可度高的有关证书。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与主要岗位类别直接相关。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关注点：与相关课程的培养目标、课程要求呼应。</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4培养目标与规格</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培养目标</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基本素养依据国家有关规定（13、61号文件）、国家专业教学标准制定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专业素养、知识、技术技能依据国家专业教学标准、区域产业发展、专业人才培养调研制定。</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专业培养目标体现学校办学层次和办学定位（特色）</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坚持立德树人，体现德智体美劳全面发展的复合型技术技能人才培养要求。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符合市场人才需求，体现创新精神，实践能力和可持续发展的要求。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内容包括：素养、知识、技术技能、行业面向、职业面向、岗位（群）或技术领域。</w:t>
            </w:r>
          </w:p>
          <w:p>
            <w:pPr>
              <w:rPr>
                <w:rFonts w:hint="eastAsia"/>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行业面向、职业面向、岗位（群）或技术领域的描述与“职业面向”保持一致。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关注点：岗位（群）与核心课程对应岗位一致。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关注点：岗位（群）与抽考标准一致。</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培养规格</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由素质、知识、能力三个方面的要求组成。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素养规格依据相关文件、国家专业教学标准制定，加入本专业所特有的，有别于其他专业的职业素养。</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知识、能力规格依据国家专业教学标准、专业人才调研制定，与专业人才培养目标对应，有课程支撑。</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知识规格是对专业人才培养所需知识的高度概括，应体现知识掌握程度，建议参考国家专业教学标准划分为“了解、熟悉、掌握”三个层次。</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能力规格是对专业人才培养所需能力的高度概括，是对专业毕业生“能做什么”的明确具体的表述，建议参考国家专业教学标准，按照“具有。。。能力”“能做。。。。”的形式来描述。</w:t>
            </w:r>
          </w:p>
          <w:p>
            <w:pPr>
              <w:rPr>
                <w:rFonts w:hint="default"/>
                <w:color w:val="000000" w:themeColor="text1"/>
                <w:vertAlign w:val="baseline"/>
                <w:lang w:val="en-US" w:eastAsia="zh-CN"/>
                <w14:textFill>
                  <w14:solidFill>
                    <w14:schemeClr w14:val="tx1"/>
                  </w14:solidFill>
                </w14:textFill>
              </w:rPr>
            </w:pP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关注点：专业素养、能力规格应与学生技能考核标准高度吻合。</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5.课程体系</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能力分析</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基于职业能力构建课程体系，能够体现职业能力与课程体系的关联，课程体系设计思路清晰。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课程模块设计科学，合理，体现职业教育规律，人才成长规律和职业升迁规律（职业能力递进，未来职业发展）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课程设置对接人才培养规格要求，有效支撑培养目标的达成（核心课程对接岗位/技术领域，课程体现人才培养规格）</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课程设置充分体现新产业、新技术、新业态、新模式，适应未来产业发展趋势要求。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课程设置有特色，体现了先进的职业教育理念和“校企合作、工学结合”人才培养模式。</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教学时量</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严格按照国家规定，开齐开足思想政治理论、体育、军事课、心理健康教育等公共课程。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形势与政策1学分，毛泽东思想和中国特色社会主义理论体系概论4学分，思想道德修养与法律基础3学分；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体育不少于108学时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军事理论课2学分，36学时；军事技能课2学分，不少于112学时；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心理健康教育科分，32-36学时；</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劳动教育16学时；创业基础2学分；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按照职业岗位（群）的能力要求，确定6-8门专业核心课程和若干门专业课程。</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描述各门课程的课程目标，主要内容和教学要求，落实国家有关规定和要求。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每学年安排40周教学活动，总学时不低于2500学时，公共基础课程学时不少于总学时的1/4，实践性教学学时占总学时数50%以上，顶岗实习6个月，选修课教学时数占总学时的比例不少于10%，一般以16-18学时计为1个学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各门课程之间，各模块之间及理论课与实践课的课时比例分配科学合理（专业核心课程对应学时、学分等于或大于专业基础课程，每门课程理论、实训学时安排逻辑合理）</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进程安排</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公共基础课程与专业课程、必修课程与选修课程安排科学合理，突出学生的全面发展和个性化发展。</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课程前后逻辑关系清晰准确，体现了专业教育规律和人才成长规律，有利于学生知识、能力、素养的有效提升。</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课程安排与课程设置、课程描述等前后保持一致，课程有效支持人才培养规格和培养目标达成。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restart"/>
            <w:vAlign w:val="center"/>
          </w:tcPr>
          <w:p>
            <w:pPr>
              <w:jc w:val="cente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6实施保障</w:t>
            </w: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师资队伍</w:t>
            </w: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对专兼职教师的数量、结构、素质等提出具体要求。（应为针对专业人才培养所需师资的要求描述，专职教师师生比、师资队伍年龄结构、学历结构、职称结构描述）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根据办学规模科学合理提出师资队伍配置要求，师资队伍结构合理，教师数量充足。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eastAsiaTheme="minor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专业教师要求明确、科学。</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注重对教师队伍的师德师风和双师素养要求。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教学设施</w:t>
            </w: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对教室、校内外实习实训基地等提出具体要求。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根据办学规模和办学特点科学合理提出校内外实习实训条件配置要求，实训基地有效支撑实施，基地工位数量充足。</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各实训基地的工位数量、实训项目、致乘客称等配置要求明确、具体。</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合理配置仿真、模拟及生产性实习实训基地。</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对教材选用、图书文献配备、数字资源配备等提出具体要求。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根据专业特点科学合理提出教学资源配置要求。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default"/>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教学资源配置有效支撑专业课程教学改革与实施。</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教学方法</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对实施教学应采取的方法提出具体要求和建议。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restart"/>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学习评价</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对学生学习评价的方式方法提出具体要求和建议。</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根据专业特点科学合理提出学习评价要求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突出多元考核，多元主体参与的评价方式，有效促进教学目标的达成。</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质量管理</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对专业人才培养的质量管理提出具体要求。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719" w:type="dxa"/>
            <w:vMerge w:val="continue"/>
            <w:vAlign w:val="center"/>
          </w:tcPr>
          <w:p>
            <w:pPr>
              <w:jc w:val="center"/>
              <w:rPr>
                <w:rFonts w:hint="eastAsia"/>
                <w:color w:val="000000" w:themeColor="text1"/>
                <w:vertAlign w:val="baseline"/>
                <w:lang w:val="en-US" w:eastAsia="zh-CN"/>
                <w14:textFill>
                  <w14:solidFill>
                    <w14:schemeClr w14:val="tx1"/>
                  </w14:solidFill>
                </w14:textFill>
              </w:rPr>
            </w:pPr>
          </w:p>
        </w:tc>
        <w:tc>
          <w:tcPr>
            <w:tcW w:w="1118" w:type="dxa"/>
            <w:vAlign w:val="center"/>
          </w:tcPr>
          <w:p>
            <w:pPr>
              <w:jc w:val="cente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毕业要求</w:t>
            </w:r>
          </w:p>
        </w:tc>
        <w:tc>
          <w:tcPr>
            <w:tcW w:w="6667"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有明确的学生毕业要求。</w:t>
            </w:r>
          </w:p>
        </w:tc>
        <w:tc>
          <w:tcPr>
            <w:tcW w:w="2835" w:type="dxa"/>
          </w:tcPr>
          <w:p>
            <w:pPr>
              <w:rPr>
                <w:rFonts w:hint="eastAsia"/>
                <w:color w:val="000000" w:themeColor="text1"/>
                <w:vertAlign w:val="baseline"/>
                <w:lang w:val="en-US" w:eastAsia="zh-CN"/>
                <w14:textFill>
                  <w14:solidFill>
                    <w14:schemeClr w14:val="tx1"/>
                  </w14:solidFill>
                </w14:textFill>
              </w:rPr>
            </w:pPr>
            <w:r>
              <w:rPr>
                <w:rFonts w:hint="eastAsia"/>
                <w:color w:val="000000" w:themeColor="text1"/>
                <w:vertAlign w:val="baseline"/>
                <w:lang w:val="en-US" w:eastAsia="zh-CN"/>
                <w14:textFill>
                  <w14:solidFill>
                    <w14:schemeClr w14:val="tx1"/>
                  </w14:solidFill>
                </w14:textFill>
              </w:rPr>
              <w:t>√</w:t>
            </w:r>
          </w:p>
        </w:tc>
        <w:tc>
          <w:tcPr>
            <w:tcW w:w="2835" w:type="dxa"/>
          </w:tcPr>
          <w:p>
            <w:pPr>
              <w:rPr>
                <w:rFonts w:hint="eastAsia"/>
                <w:color w:val="000000" w:themeColor="text1"/>
                <w:vertAlign w:val="baseline"/>
                <w:lang w:val="en-US" w:eastAsia="zh-CN"/>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20" w:lineRule="exact"/>
        <w:textAlignment w:val="auto"/>
        <w:outlineLvl w:val="9"/>
        <w:rPr>
          <w:rFonts w:hint="eastAsia"/>
          <w:color w:val="000000" w:themeColor="text1"/>
          <w:lang w:val="en-US" w:eastAsia="zh-CN"/>
          <w14:textFill>
            <w14:solidFill>
              <w14:schemeClr w14:val="tx1"/>
            </w14:solidFill>
          </w14:textFill>
        </w:rPr>
      </w:pPr>
    </w:p>
    <w:sectPr>
      <w:pgSz w:w="16838" w:h="11906" w:orient="landscape"/>
      <w:pgMar w:top="1134" w:right="1440" w:bottom="850" w:left="1440" w:header="851" w:footer="567" w:gutter="0"/>
      <w:cols w:space="0" w:num="1"/>
      <w:rtlGutter w:val="0"/>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6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A21122"/>
    <w:rsid w:val="1EF545C6"/>
    <w:rsid w:val="24FE754C"/>
    <w:rsid w:val="265E66BA"/>
    <w:rsid w:val="2FDE6E21"/>
    <w:rsid w:val="3E1D709C"/>
    <w:rsid w:val="3E652B34"/>
    <w:rsid w:val="51EC1CAC"/>
    <w:rsid w:val="56C27129"/>
    <w:rsid w:val="593454F4"/>
    <w:rsid w:val="6B0E28D1"/>
    <w:rsid w:val="70A21122"/>
    <w:rsid w:val="75811271"/>
    <w:rsid w:val="7E993B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2020-08-15T02:04:00Z</dcterms:created>
  <dc:creator>Administrator</dc:creator>
  <cp:lastModifiedBy>jiahui</cp:lastModifiedBy>
  <dcterms:modified xsi:type="dcterms:W3CDTF">2020-10-25T06:19:10Z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