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专业人才培养方案自查表</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系：</w:t>
      </w:r>
      <w:r>
        <w:rPr>
          <w:rFonts w:hint="default"/>
          <w:color w:val="000000" w:themeColor="text1"/>
          <w:lang w:eastAsia="zh-CN"/>
          <w14:textFill>
            <w14:solidFill>
              <w14:schemeClr w14:val="tx1"/>
            </w14:solidFill>
          </w14:textFill>
        </w:rPr>
        <w:t>民族艺术系</w:t>
      </w:r>
      <w:r>
        <w:rPr>
          <w:rFonts w:hint="eastAsia"/>
          <w:color w:val="000000" w:themeColor="text1"/>
          <w:lang w:val="en-US" w:eastAsia="zh-CN"/>
          <w14:textFill>
            <w14:solidFill>
              <w14:schemeClr w14:val="tx1"/>
            </w14:solidFill>
          </w14:textFill>
        </w:rPr>
        <w:t xml:space="preserve">                      </w:t>
      </w:r>
      <w:r>
        <w:rPr>
          <w:rFonts w:hint="default"/>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专业名称：</w:t>
      </w:r>
      <w:r>
        <w:rPr>
          <w:rFonts w:hint="eastAsia"/>
          <w:color w:val="000000" w:themeColor="text1"/>
          <w:lang w:val="en-US" w:eastAsia="zh-CN"/>
          <w14:textFill>
            <w14:solidFill>
              <w14:schemeClr w14:val="tx1"/>
            </w14:solidFill>
          </w14:textFill>
        </w:rPr>
        <w:t xml:space="preserve">  </w:t>
      </w:r>
      <w:r>
        <w:rPr>
          <w:rFonts w:hint="default"/>
          <w:color w:val="000000" w:themeColor="text1"/>
          <w:lang w:eastAsia="zh-CN"/>
          <w14:textFill>
            <w14:solidFill>
              <w14:schemeClr w14:val="tx1"/>
            </w14:solidFill>
          </w14:textFill>
        </w:rPr>
        <w:t>广告设计与制作</w:t>
      </w:r>
      <w:r>
        <w:rPr>
          <w:rFonts w:hint="eastAsia"/>
          <w:color w:val="000000" w:themeColor="text1"/>
          <w:lang w:val="en-US" w:eastAsia="zh-CN"/>
          <w14:textFill>
            <w14:solidFill>
              <w14:schemeClr w14:val="tx1"/>
            </w14:solidFill>
          </w14:textFill>
        </w:rPr>
        <w:t xml:space="preserve">                                       学制：</w:t>
      </w:r>
      <w:r>
        <w:rPr>
          <w:rFonts w:hint="default"/>
          <w:color w:val="000000" w:themeColor="text1"/>
          <w:lang w:eastAsia="zh-CN"/>
          <w14:textFill>
            <w14:solidFill>
              <w14:schemeClr w14:val="tx1"/>
            </w14:solidFill>
          </w14:textFill>
        </w:rPr>
        <w:t>三年、五年</w:t>
      </w:r>
      <w:bookmarkStart w:id="0" w:name="_GoBack"/>
      <w:bookmarkEnd w:id="0"/>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18"/>
        <w:gridCol w:w="6667"/>
        <w:gridCol w:w="2835"/>
        <w:gridCol w:w="2835"/>
      </w:tblGrid>
      <w:tr>
        <w:trPr>
          <w:trHeight w:val="45" w:hRule="atLeast"/>
          <w:tblHeader/>
        </w:trPr>
        <w:tc>
          <w:tcPr>
            <w:tcW w:w="719"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一级指标</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二级指标</w:t>
            </w:r>
          </w:p>
        </w:tc>
        <w:tc>
          <w:tcPr>
            <w:tcW w:w="6667"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评价标准</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自查结果（合格请划“√”）</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说明</w:t>
            </w:r>
          </w:p>
        </w:tc>
      </w:tr>
      <w:tr>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1调研报告</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调研活动组织</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体现处专业人才培养调研活动的有效组织</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调研信息分析</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有客观深入的市场（行业、企业、在校生、毕业生）调研分析</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行业发展前景分析科学有据</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人才需求和职业岗位分析清晰准确</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国家标准、行业标准分析清晰准确</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职业证书分析准确</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在校生学情分析、就业意愿分析清晰准确</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调研结论</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有效支持人才培养方案的职业面向、培养目标、规格，调研报告提供的建议，来源于对数据分析的结论，并有效支持本专业人才培养方案的制定。</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2基本信息</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名称代码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专业名称及代码（高等职业教育（专科）目录完全一致</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入学要求</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与教育部（2019）61号文件或与国家专业教学标准表述一致。</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修业年限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用“三年”表述</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3职业面向</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所属专业大类、代码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对照（高等职业教育（专科）目录填写</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对应行业、代码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参考《国民经济行业分类（2017版）填写，具体到行业小类。</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主要职业类别代码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参考《职业分类大典》2015版填写，具体到小类。</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eastAsiaTheme="minorEastAsia"/>
                <w:color w:val="000000" w:themeColor="text1"/>
                <w:spacing w:val="-11"/>
                <w:vertAlign w:val="baseline"/>
                <w:lang w:val="en-US" w:eastAsia="zh-CN"/>
                <w14:textFill>
                  <w14:solidFill>
                    <w14:schemeClr w14:val="tx1"/>
                  </w14:solidFill>
                </w14:textFill>
              </w:rPr>
              <w:t>主要岗位类别、代码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依据专业人才培养调研结果，参考行业、企业现行通用岗位群或技术领域表述。</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职业技能证书</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列举相应的国家职业资格证书，职业技能等级证书，行业、企业、社会认可度高的有关证书。</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与主要岗位类别直接相关。</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关注点：与相关课程的培养目标、课程要求呼应。</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4培养目标与规格</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培养目标</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基本素养依据国家有关规定（13、61号文件）、国家专业教学标准制定</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专业素养、知识、技术技能依据国家专业教学标准、区域产业发展、专业人才培养调研制定。</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专业培养目标体现学校办学层次和办学定位（特色）</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坚持立德树人，体现德智体美劳全面发展的复合型技术技能人才培养要求。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符合市场人才需求，体现创新精神，实践能力和可持续发展的要求。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内容包括：素养、知识、技术技能、行业面向、职业面向、岗位（群）或技术领域。</w:t>
            </w:r>
          </w:p>
          <w:p>
            <w:pPr>
              <w:rPr>
                <w:rFonts w:hint="eastAsia"/>
                <w:color w:val="000000" w:themeColor="text1"/>
                <w:vertAlign w:val="baseline"/>
                <w:lang w:val="en-US" w:eastAsia="zh-CN"/>
                <w14:textFill>
                  <w14:solidFill>
                    <w14:schemeClr w14:val="tx1"/>
                  </w14:solidFill>
                </w14:textFill>
              </w:rPr>
            </w:pP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行业面向、职业面向、岗位（群）或技术领域的描述与“职业面向”保持一致。</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关注点：岗位（群）与核心课程对应岗位一致。</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关注点：岗位（群）与抽考标准一致。</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培养规格</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由素质、知识、能力三个方面的要求组成。</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素养规格依据相关文件、国家专业教学标准制定，加入本专业所特有的，有别于其他专业的职业素养。</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知识、能力规格依据国家专业教学标准、专业人才调研制定，与专业人才培养目标对应，有课程支撑。</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知识规格是对专业人才培养所需知识的高度概括，应体现知识掌握程度，建议参考国家专业教学标准划分为“了解、熟悉、掌握”三个层次。</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能力规格是对专业人才培养所需能力的高度概括，是对专业毕业生“能做什么”的明确具体的表述，建议参考国家专业教学标准，按照“具有。。。能力”“能做。。。。”的形式来描述。</w:t>
            </w:r>
          </w:p>
          <w:p>
            <w:pPr>
              <w:rPr>
                <w:rFonts w:hint="default"/>
                <w:color w:val="000000" w:themeColor="text1"/>
                <w:vertAlign w:val="baseline"/>
                <w:lang w:val="en-US" w:eastAsia="zh-CN"/>
                <w14:textFill>
                  <w14:solidFill>
                    <w14:schemeClr w14:val="tx1"/>
                  </w14:solidFill>
                </w14:textFill>
              </w:rPr>
            </w:pP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关注点：专业素养、能力规格应与学生技能考核标准高度吻合。</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5.课程体系</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能力分析</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基于职业能力构建课程体系，能够体现职业能力与课程体系的关联，课程体系设计思路清晰。</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课程模块设计科学，合理，体现职业教育规律，人才成长规律和职业升迁规律（职业能力递进，未来职业发展）</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课程设置对接人才培养规格要求，有效支撑培养目标的达成（核心课程对接岗位/技术领域，课程体现人才培养规格）</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课程设置充分体现新产业、新技术、新业态、新模式，适应未来产业发展趋势要求。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课程设置有特色，体现了先进的职业教育理念和“校企合作、工学结合”人才培养模式。</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教学时量</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严格按照国家规定，开齐开足思想政治理论、体育、军事课、心理健康教育等公共课程。</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形势与政策1学分，毛泽东思想和中国特色社会主义理论体系概论4学分，思想道德修养与法律基础3学分；</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体育不少于108学时</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军事理论课2学分，36学时；军事技能课2学分，不少于112学时；</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心理健康教育科分，32-36学时；</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劳动教育16学时；创业基础2学分；</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按照职业岗位（群）的能力要求，确定6-8门专业核心课程和若干门专业课程。</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描述各门课程的课程目标，主要内容和教学要求，落实国家有关规定和要求。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每学年安排40周教学活动，总学时不低于2500学时，公共基础课程学时不少于总学时的1/4，实践性教学学时占总学时数50%以上，顶岗实习6个月，选修课教学时数占总学时的比例不少于10%，一般以16-18学时计为1个学分。</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各门课程之间，各模块之间及理论课与实践课的课时比例分配科学合理（专业核心课程对应学时、学分等于或大于专业基础课程，每门课程理论、实训学时安排逻辑合理）</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进程安排</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公共基础课程与专业课程、必修课程与选修课程安排科学合理，突出学生的全面发展和个性化发展。</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课程前后逻辑关系清晰准确，体现了专业教育规律和人才成长规律，有利于学生知识、能力、素养的有效提升。</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课程安排与课程设置、课程描述等前后保持一致，课程有效支持人才培养规格和培养目标达成。</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6实施保障</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师资队伍</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对专兼职教师的数量、结构、素质等提出具体要求。（应为针对专业人才培养所需师资的要求描述，专职教师师生比、师资队伍年龄结构、学历结构、职称结构描述）</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根据办学规模科学合理提出师资队伍配置要求，师资队伍结构合理，教师数量充足。</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专业教师要求明确、科学。</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注重对教师队伍的师德师风和双师素养要求。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教学设施</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对教室、校内外实习实训基地等提出具体要求。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根据办学规模和办学特点科学合理提出校内外实习实训条件配置要求，实训基地有效支撑实施，基地工位数量充足。</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各实训基地的工位数量、实训项目、致乘客称等配置要求明确、具体。</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合理配置仿真、模拟及生产性实习实训基地。</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对教材选用、图书文献配备、数字资源配备等提出具体要求。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根据专业特点科学合理提出教学资源配置要求。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教学资源配置有效支撑专业课程教学改革与实施。</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教学方法</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对实施教学应采取的方法提出具体要求和建议。</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学习评价</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对学生学习评价的方式方法提出具体要求和建议。</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根据专业特点科学合理提出学习评价要求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突出多元考核，多元主体参与的评价方式，有效促进教学目标的达成。</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质量管理</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对专业人才培养的质量管理提出具体要求。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毕业要求</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有明确的学生毕业要求。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color w:val="000000" w:themeColor="text1"/>
          <w:lang w:val="en-US" w:eastAsia="zh-CN"/>
          <w14:textFill>
            <w14:solidFill>
              <w14:schemeClr w14:val="tx1"/>
            </w14:solidFill>
          </w14:textFill>
        </w:rPr>
      </w:pPr>
    </w:p>
    <w:sectPr>
      <w:pgSz w:w="16838" w:h="11906" w:orient="landscape"/>
      <w:pgMar w:top="1134" w:right="1440" w:bottom="850" w:left="1440" w:header="851" w:footer="567"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21122"/>
    <w:rsid w:val="1EF545C6"/>
    <w:rsid w:val="1FB7ABC1"/>
    <w:rsid w:val="24FE754C"/>
    <w:rsid w:val="265E66BA"/>
    <w:rsid w:val="2FDE6E21"/>
    <w:rsid w:val="3E652B34"/>
    <w:rsid w:val="51EC1CAC"/>
    <w:rsid w:val="56C27129"/>
    <w:rsid w:val="593454F4"/>
    <w:rsid w:val="67CEBB04"/>
    <w:rsid w:val="6FDBD02D"/>
    <w:rsid w:val="70A21122"/>
    <w:rsid w:val="75811271"/>
    <w:rsid w:val="7E99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Office_2.0.1.3256_F1E327BC-269C-435d-A152-05C5408002CA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2020-08-15T10:04:00Z</dcterms:created>
  <dc:creator>Administrator</dc:creator>
  <cp:lastModifiedBy>wuzhen</cp:lastModifiedBy>
  <dcterms:modified xsi:type="dcterms:W3CDTF">2020-10-25T12:47:09Z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