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系：民族艺术系</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室内艺术设计                        </w:t>
      </w:r>
      <w:bookmarkStart w:id="0" w:name="_GoBack"/>
      <w:bookmarkEnd w:id="0"/>
      <w:r>
        <w:rPr>
          <w:rFonts w:hint="eastAsia"/>
          <w:color w:val="000000" w:themeColor="text1"/>
          <w:lang w:val="en-US" w:eastAsia="zh-CN"/>
          <w14:textFill>
            <w14:solidFill>
              <w14:schemeClr w14:val="tx1"/>
            </w14:solidFill>
          </w14:textFill>
        </w:rPr>
        <w:t xml:space="preserve">                      学制：三年、五年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E652B34"/>
    <w:rsid w:val="51EC1CAC"/>
    <w:rsid w:val="56C27129"/>
    <w:rsid w:val="593454F4"/>
    <w:rsid w:val="677860A1"/>
    <w:rsid w:val="685C3647"/>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yzhyu</cp:lastModifiedBy>
  <dcterms:modified xsi:type="dcterms:W3CDTF">2020-10-25T05:08:11Z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