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44" w:rsidRDefault="00AC14C7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年湘西民族职业技术学院专业人才培养方案合格性评审细则</w:t>
      </w:r>
    </w:p>
    <w:p w:rsidR="00427E44" w:rsidRDefault="00AC14C7">
      <w:pPr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4"/>
          <w:lang/>
        </w:rPr>
        <w:t>人才培养方案名称：</w:t>
      </w:r>
    </w:p>
    <w:tbl>
      <w:tblPr>
        <w:tblW w:w="146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"/>
        <w:gridCol w:w="1616"/>
        <w:gridCol w:w="838"/>
        <w:gridCol w:w="5480"/>
        <w:gridCol w:w="5490"/>
      </w:tblGrid>
      <w:tr w:rsidR="00427E44">
        <w:trPr>
          <w:tblHeader/>
        </w:trPr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一级指标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二级指标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分值</w:t>
            </w:r>
          </w:p>
        </w:tc>
        <w:tc>
          <w:tcPr>
            <w:tcW w:w="5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评价标准</w:t>
            </w: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评分要点</w:t>
            </w:r>
          </w:p>
        </w:tc>
      </w:tr>
      <w:tr w:rsidR="00427E44">
        <w:trPr>
          <w:trHeight w:val="1260"/>
        </w:trPr>
        <w:tc>
          <w:tcPr>
            <w:tcW w:w="118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１．工作开展（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系部修订人才培养工作具体方案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系部制订了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年专业人才培养工作实施方案（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无工作方案扣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                                             </w:t>
            </w:r>
          </w:p>
        </w:tc>
      </w:tr>
      <w:tr w:rsidR="00427E44">
        <w:trPr>
          <w:trHeight w:val="675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调研报告和人才培养方案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有规范的专业人才培养方案（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分）（含三年制、五年制）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无专业人才培养方案扣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分，少一个扣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分。</w:t>
            </w:r>
          </w:p>
        </w:tc>
      </w:tr>
      <w:tr w:rsidR="00427E44">
        <w:trPr>
          <w:trHeight w:val="1531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有详实的专业市场调研报告（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调研活动组织，调研信息分析，调研结论。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无调研报告扣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。有客观深入的市场调研分析（行业、企业、在校生、毕业生）；行业发展前景分析科学有据，人才需求和职业岗位分析清晰准确；职业证书分析准确；在校生学情、就业意愿分析准确；有效支持人才培养方案的职业面向、培养目标、培养规格调研报告结论。</w:t>
            </w:r>
          </w:p>
        </w:tc>
      </w:tr>
      <w:tr w:rsidR="00427E44">
        <w:trPr>
          <w:trHeight w:val="975"/>
        </w:trPr>
        <w:tc>
          <w:tcPr>
            <w:tcW w:w="118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2.1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基本信息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体例符合《通知》附件要求（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分）与国家教育部、湖南省教育厅文件的要求符合（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分）标题格式、专业名称及代码、入学要求、修业年限、毕业要求等信息表达准确、规范（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要素缺项或描述不准确，每处扣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427E44">
        <w:trPr>
          <w:trHeight w:val="1501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职业面向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深化产教融合，校企合作，紧密对接行业企业，体现区域经济发展需求，符合本校办学实际和特色；包括本专业所属专业大类（专业类）及代码，本专业所对应的行业、主要职业类别、主要岗位类别（或技术领域）、职业技能等级证书、社会认可度高的行业企业标准和证书举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要素缺一项扣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分，描述不准确每处扣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分。参考《普通高等学校高等职业教育（专科）专业目录》，《国民经济行业分类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年版》、《职业分类大典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年版》</w:t>
            </w:r>
          </w:p>
        </w:tc>
      </w:tr>
      <w:tr w:rsidR="00427E44">
        <w:trPr>
          <w:trHeight w:val="690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职业岗位描述清晰，体现了岗位的升迁变化（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未描述扣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分，描述不清晰或未体现职业升迁，酌情扣分</w:t>
            </w:r>
          </w:p>
        </w:tc>
      </w:tr>
      <w:tr w:rsidR="00427E44">
        <w:trPr>
          <w:trHeight w:val="3901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培养目标与规格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、以国家专业教学标准为基本遵循，人才培养目标定位准确；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、知识、能力、素质目标描述科学、具体、有机融入职业素养要求，体现德智体美劳全面发展的复合型技术技能人才培养要求（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①人才培养目标定位不清晰、不准确，未体现德智体美劳全面发展，酌情扣分；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②规格未按知识、能力、素质目标进行描述或描述不准确扣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分，与培养目标配或不能满足未来岗位需求，酌情扣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素养规格依据相关文件、国家专业教学标准制定，加入本专业所特有的、有别于其他专业的职业素养；知识、能力规格依据国窖专业教学标准、专业调研制定，与专业人才培养目标对应，有课程支撑。知识规格是对专业人才培养所需知识的高度概括，应体现知识掌握程度，建议参考国家教学标准划分为“了解、熟悉、掌握”三个层次。能力规格是对专业人才培养所需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力的高度概括，是对专业毕业生“能做什么”的明确具体的表述，建议参考国家专业教学标准，按照“具有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...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能力”“能做什么”的形式描述。关注点：专业素养，能力规格应与学生技能抽考标准高度吻合。</w:t>
            </w:r>
          </w:p>
        </w:tc>
      </w:tr>
      <w:tr w:rsidR="00427E44">
        <w:trPr>
          <w:trHeight w:val="3361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课程设置及要求</w:t>
            </w: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课程设置及要求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*1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、严格按照国家规定开启开足思想政治理论、体育、军事课、心理健康教育等公共基础必修课程，其中形势与政策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学分；毛泽东思想和中国特色社会主义理论体系概论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学分；思想道德修养和法律基础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学分；体育不少于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学时；军事理论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学时；军事技能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学分，不少于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学时；心理健康教育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32-36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、按照职业岗位（群）的能力要求，确定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门专业核心课程和若干门专业课程（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、每学年安排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周教学活动，三年制高职总学时数不低于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，公共基础课程学时不少于总学时的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，实践性教学学时占总学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时数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以上，顶岗实习时间一般为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个月，选修课教学时数占总学时的比例不少于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，一般以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16-18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学时计为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个学分。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有一项不合格扣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427E44">
        <w:trPr>
          <w:trHeight w:val="1381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课程体系设计思路清晰，体现了职业教育规律、人才成长规律和职业升迁规律，支持培养目标的达成（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课程体系思路不清晰扣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分；未能较好体现职业教育规律、人才成长规律和职业升迁规律扣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分；课程体系不能完全支持培养目标达成扣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427E44">
        <w:trPr>
          <w:trHeight w:val="810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课程模块设计科学、合理，体现专业特色（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课程模块设计合理性不够、未体现专业特色，酌情扣分</w:t>
            </w:r>
          </w:p>
        </w:tc>
      </w:tr>
      <w:tr w:rsidR="00427E44">
        <w:trPr>
          <w:trHeight w:val="810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准确描述各门课程的课程目标、主要内容和教学要求，落实国家有关规定和要求（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未按要求对课程进行描述，每缺一门扣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分，每一门描述不全扣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课程目标分别按照素质目标、知识目标、能力目标进行描述。学生毕业设计作为一门必修课程进行描述。</w:t>
            </w:r>
          </w:p>
        </w:tc>
      </w:tr>
      <w:tr w:rsidR="00427E44">
        <w:trPr>
          <w:trHeight w:val="810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将职业技能等级标准有关内容及要求有机融入专业课程教学（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未将职业技能等级标准融入专业课程教学扣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427E44">
        <w:trPr>
          <w:trHeight w:val="1321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把立德树人融入思想道德教育、文化知识教育、职业技能培养、劳动教育、社会实践教育、创新创业教育各环节，将专业精神、职业精神、工匠精神融入人才培养全过程（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未将立德树人融入人才培养各环节扣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分；立德树人、专业精神、职业精神、工匠精神融入不够，酌情扣分</w:t>
            </w:r>
          </w:p>
        </w:tc>
      </w:tr>
      <w:tr w:rsidR="00427E44">
        <w:trPr>
          <w:trHeight w:val="1260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教学进程及安排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教学进程总体安排能完整体现课程类别、课程性质、课程名称、课程编码、学时学分、学期课程安排、考核方式等要素，并反映有关学时比例要求（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要素每缺一项扣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分，学时比例未达要求扣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分；课程先后顺序不恰当每处扣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427E44">
        <w:trPr>
          <w:trHeight w:val="870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实施保障</w:t>
            </w: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实施保障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15</w:t>
            </w: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  <w:p w:rsidR="00427E44" w:rsidRDefault="00427E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对专兼职教师的数量、结构、素质有明确要求和具体可行的举措（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描述不明确，措施不具体，酌情扣分</w:t>
            </w:r>
          </w:p>
        </w:tc>
      </w:tr>
      <w:tr w:rsidR="00427E44">
        <w:trPr>
          <w:trHeight w:val="780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对教室，校内外实习实训基地等提出具体要求（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要求不具体或不能完全满足教学要求，酌情扣分</w:t>
            </w:r>
          </w:p>
        </w:tc>
      </w:tr>
      <w:tr w:rsidR="00427E44">
        <w:trPr>
          <w:trHeight w:val="750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对教材选用、图书文献配备、数字资源配备等提出具体要求（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具体要求和建议不明确，与本专业特点不符合，酌情扣分</w:t>
            </w:r>
          </w:p>
        </w:tc>
      </w:tr>
      <w:tr w:rsidR="00427E44">
        <w:trPr>
          <w:trHeight w:val="1576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对实施教学采取的方式、方法及手段提出要求和建议，积极推行项目教学、案例教学、情景教学、工作过程导向教学、理实一体教学、混合式教学、模块化教学等教学模式，推动大数据、人工智能、虚拟现实等现代信息技术在教育教学中的运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未提出具体要求和建议，酌情扣分</w:t>
            </w:r>
          </w:p>
        </w:tc>
      </w:tr>
      <w:tr w:rsidR="00427E44">
        <w:trPr>
          <w:trHeight w:val="720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对学生学习评价的方式方法提出要求和建议（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具体要求和建议不明确，与本专业特点不符合，酌情扣分</w:t>
            </w:r>
          </w:p>
        </w:tc>
      </w:tr>
      <w:tr w:rsidR="00427E44">
        <w:trPr>
          <w:trHeight w:val="615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对专业人才培养的质量管理提出要求（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质量管理要求不具体，酌情扣分</w:t>
            </w:r>
          </w:p>
        </w:tc>
      </w:tr>
      <w:tr w:rsidR="00427E44">
        <w:trPr>
          <w:trHeight w:val="615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毕业要求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有明确的学生毕业要求（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不符合要求每处扣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427E44">
        <w:trPr>
          <w:trHeight w:val="615"/>
        </w:trPr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427E4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不符合要求每处扣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427E44">
        <w:trPr>
          <w:trHeight w:val="840"/>
        </w:trPr>
        <w:tc>
          <w:tcPr>
            <w:tcW w:w="1460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最后得分：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专家签名：</w:t>
            </w:r>
          </w:p>
        </w:tc>
      </w:tr>
      <w:tr w:rsidR="00427E44">
        <w:trPr>
          <w:trHeight w:val="840"/>
        </w:trPr>
        <w:tc>
          <w:tcPr>
            <w:tcW w:w="11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备注</w:t>
            </w:r>
          </w:p>
        </w:tc>
        <w:tc>
          <w:tcPr>
            <w:tcW w:w="1342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E44" w:rsidRDefault="00AC14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的指标项，有一项不符就直接判定该方案为“不合格”等次；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                                                               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评分要点累计扣分时，最多扣完本项配分炎止。</w:t>
            </w:r>
          </w:p>
        </w:tc>
      </w:tr>
    </w:tbl>
    <w:p w:rsidR="00427E44" w:rsidRDefault="00427E44"/>
    <w:sectPr w:rsidR="00427E44" w:rsidSect="00427E44">
      <w:footerReference w:type="default" r:id="rId7"/>
      <w:pgSz w:w="16838" w:h="11906" w:orient="landscape"/>
      <w:pgMar w:top="1134" w:right="1134" w:bottom="1134" w:left="1134" w:header="851" w:footer="850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C7" w:rsidRDefault="00AC14C7" w:rsidP="00427E44">
      <w:r>
        <w:separator/>
      </w:r>
    </w:p>
  </w:endnote>
  <w:endnote w:type="continuationSeparator" w:id="0">
    <w:p w:rsidR="00AC14C7" w:rsidRDefault="00AC14C7" w:rsidP="0042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44" w:rsidRDefault="00427E4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27E44" w:rsidRDefault="00427E4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C14C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67AF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C7" w:rsidRDefault="00AC14C7" w:rsidP="00427E44">
      <w:r>
        <w:separator/>
      </w:r>
    </w:p>
  </w:footnote>
  <w:footnote w:type="continuationSeparator" w:id="0">
    <w:p w:rsidR="00AC14C7" w:rsidRDefault="00AC14C7" w:rsidP="00427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60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627702"/>
    <w:rsid w:val="00427E44"/>
    <w:rsid w:val="00AC14C7"/>
    <w:rsid w:val="00F67AF2"/>
    <w:rsid w:val="26AE6EB5"/>
    <w:rsid w:val="3E380D8F"/>
    <w:rsid w:val="460530AF"/>
    <w:rsid w:val="49627702"/>
    <w:rsid w:val="6D2A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E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27E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27E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2020-09-05T15:20:00Z</dcterms:created>
  <dcterms:modified xsi:type="dcterms:W3CDTF">2020-09-05T15:20:00Z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